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2C0707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Сводный отчет</w:t>
      </w:r>
    </w:p>
    <w:p w:rsidR="00575F46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о проведении оценки ре</w:t>
      </w:r>
      <w:r w:rsidR="002C0707" w:rsidRPr="002C0707">
        <w:rPr>
          <w:rFonts w:eastAsia="Calibri" w:cs="Times New Roman"/>
          <w:b/>
          <w:kern w:val="0"/>
          <w:sz w:val="28"/>
          <w:szCs w:val="28"/>
        </w:rPr>
        <w:t xml:space="preserve">гулирующего воздействия проекта </w:t>
      </w:r>
    </w:p>
    <w:p w:rsidR="00132828" w:rsidRDefault="00575F46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</w:rPr>
        <w:t>муниципального нормативного правового акта</w:t>
      </w:r>
    </w:p>
    <w:p w:rsidR="00575F46" w:rsidRPr="00623749" w:rsidRDefault="00575F46" w:rsidP="002C07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</w:rPr>
      </w:pPr>
    </w:p>
    <w:p w:rsidR="00132828" w:rsidRPr="00D75945" w:rsidRDefault="00132828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проекта постановления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:</w:t>
      </w:r>
    </w:p>
    <w:p w:rsidR="00132828" w:rsidRPr="00D75945" w:rsidRDefault="00AB3276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>
        <w:rPr>
          <w:rFonts w:eastAsia="Calibri" w:cs="Times New Roman"/>
          <w:iCs/>
          <w:color w:val="auto"/>
          <w:kern w:val="0"/>
          <w:sz w:val="28"/>
          <w:szCs w:val="28"/>
        </w:rPr>
        <w:t>с</w:t>
      </w:r>
      <w:r w:rsidR="006037FA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14</w:t>
      </w:r>
      <w:r w:rsidRPr="00AB327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6037FA">
        <w:rPr>
          <w:rFonts w:eastAsia="Calibri" w:cs="Times New Roman"/>
          <w:iCs/>
          <w:color w:val="auto"/>
          <w:kern w:val="0"/>
          <w:sz w:val="28"/>
          <w:szCs w:val="28"/>
        </w:rPr>
        <w:t>сентября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DF0705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по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6037FA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6037FA">
        <w:rPr>
          <w:rFonts w:eastAsia="Calibri" w:cs="Times New Roman"/>
          <w:iCs/>
          <w:color w:val="auto"/>
          <w:kern w:val="0"/>
          <w:sz w:val="28"/>
          <w:szCs w:val="28"/>
        </w:rPr>
        <w:t>сентября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DF0705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6037FA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>Пр</w:t>
            </w:r>
            <w:r w:rsidR="002C0707">
              <w:rPr>
                <w:sz w:val="28"/>
                <w:szCs w:val="28"/>
              </w:rPr>
              <w:t xml:space="preserve">оект </w:t>
            </w:r>
            <w:r w:rsidR="00DF0705">
              <w:rPr>
                <w:sz w:val="28"/>
                <w:szCs w:val="28"/>
              </w:rPr>
              <w:t>постановления администрации</w:t>
            </w:r>
            <w:r w:rsidR="005D7896">
              <w:rPr>
                <w:sz w:val="28"/>
                <w:szCs w:val="28"/>
              </w:rPr>
              <w:t xml:space="preserve"> городского округа «город Избербаш» «Об утверждении </w:t>
            </w:r>
            <w:r w:rsidR="006037FA">
              <w:rPr>
                <w:sz w:val="28"/>
                <w:szCs w:val="28"/>
              </w:rPr>
              <w:t>муниципальной программы «Развитие малого и среднего предпринимательства в городском округе «город Избербаш» на 2020-2022гг»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6037FA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r w:rsidRPr="004115EB">
              <w:rPr>
                <w:sz w:val="28"/>
                <w:szCs w:val="28"/>
              </w:rPr>
              <w:t>Прое</w:t>
            </w:r>
            <w:r w:rsidR="00DF0705">
              <w:rPr>
                <w:sz w:val="28"/>
                <w:szCs w:val="28"/>
              </w:rPr>
              <w:t>ктом постановления</w:t>
            </w:r>
            <w:r w:rsidR="006769C5">
              <w:rPr>
                <w:sz w:val="28"/>
                <w:szCs w:val="28"/>
              </w:rPr>
              <w:t xml:space="preserve"> предлагается</w:t>
            </w:r>
            <w:r w:rsidR="006769C5" w:rsidRPr="006769C5">
              <w:rPr>
                <w:sz w:val="28"/>
                <w:szCs w:val="28"/>
              </w:rPr>
              <w:t xml:space="preserve"> </w:t>
            </w:r>
            <w:r w:rsidR="00BB2B4C">
              <w:rPr>
                <w:sz w:val="28"/>
                <w:szCs w:val="28"/>
              </w:rPr>
              <w:t xml:space="preserve">утвердить </w:t>
            </w:r>
            <w:r w:rsidR="006037FA">
              <w:rPr>
                <w:sz w:val="28"/>
                <w:szCs w:val="28"/>
              </w:rPr>
              <w:t>программу «Развитие малого и среднего предпринимательства в городском округе «город Избербаш» на 2020-2022гг»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2C0707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Патимат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Абдусамадовна</w:t>
            </w:r>
            <w:proofErr w:type="spell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pStyle w:val="a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Ведущий специалист отдела экономики и инвестиционной политики</w:t>
            </w:r>
            <w:r w:rsidR="00F76366" w:rsidRPr="00F76366">
              <w:rPr>
                <w:kern w:val="0"/>
                <w:sz w:val="28"/>
                <w:szCs w:val="28"/>
              </w:rPr>
              <w:t xml:space="preserve"> администрации городского округа «город </w:t>
            </w:r>
            <w:r w:rsidR="00F76366">
              <w:rPr>
                <w:kern w:val="0"/>
                <w:sz w:val="28"/>
                <w:szCs w:val="28"/>
              </w:rPr>
              <w:t>И</w:t>
            </w:r>
            <w:r w:rsidR="00F76366"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Pr="00AB327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2-48-34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minec</w:t>
            </w:r>
            <w:r w:rsidR="00F76366"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AB3276" w:rsidRDefault="00555678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lastRenderedPageBreak/>
              <w:t>низкая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555678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5678" w:rsidRPr="00623A68">
              <w:rPr>
                <w:sz w:val="28"/>
                <w:szCs w:val="28"/>
              </w:rPr>
              <w:t>Проект правового акта не содержит 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A68">
              <w:rPr>
                <w:sz w:val="28"/>
                <w:szCs w:val="28"/>
              </w:rPr>
              <w:t>,</w:t>
            </w:r>
            <w:r w:rsidR="00555678">
              <w:t xml:space="preserve"> </w:t>
            </w:r>
            <w:r w:rsidR="00555678" w:rsidRPr="00623749">
              <w:rPr>
                <w:sz w:val="28"/>
                <w:szCs w:val="28"/>
              </w:rPr>
              <w:t>устанавливающи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ранее не предусмотренные обязанности, запреты и ограничения для субъектов или способствующи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установлению ранее не предусмотренных обязанностей, запретов и ограничений для субъектов, </w:t>
            </w:r>
            <w:r w:rsidR="00555678">
              <w:rPr>
                <w:sz w:val="28"/>
                <w:szCs w:val="28"/>
              </w:rPr>
              <w:t xml:space="preserve">а также </w:t>
            </w:r>
            <w:r w:rsidR="00555678" w:rsidRPr="00623749">
              <w:rPr>
                <w:sz w:val="28"/>
                <w:szCs w:val="28"/>
              </w:rPr>
              <w:t>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749">
              <w:rPr>
                <w:sz w:val="28"/>
                <w:szCs w:val="28"/>
              </w:rPr>
              <w:t>, приводящи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к возникновению ранее не предусмотренных законодательством Российской Федерации и иными нормативными правовыми актами расходов субъектов</w:t>
            </w:r>
            <w:r w:rsidR="00555678">
              <w:rPr>
                <w:sz w:val="28"/>
                <w:szCs w:val="28"/>
              </w:rPr>
              <w:t xml:space="preserve">. Проект правового акта не содержит положения, </w:t>
            </w:r>
            <w:r w:rsidR="00555678" w:rsidRPr="00623749">
              <w:rPr>
                <w:sz w:val="28"/>
                <w:szCs w:val="28"/>
              </w:rPr>
              <w:t>изменяющи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изменению ранее предусмотренных обязанностей, запретов и ограничений для субъектов, а также 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749">
              <w:rPr>
                <w:sz w:val="28"/>
                <w:szCs w:val="28"/>
              </w:rPr>
              <w:t>, приводящи</w:t>
            </w:r>
            <w:r w:rsidR="00555678">
              <w:rPr>
                <w:sz w:val="28"/>
                <w:szCs w:val="28"/>
              </w:rPr>
              <w:t>х</w:t>
            </w:r>
            <w:r w:rsidR="00555678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555678">
              <w:rPr>
                <w:sz w:val="28"/>
                <w:szCs w:val="28"/>
              </w:rPr>
              <w:t>,</w:t>
            </w:r>
            <w:r w:rsidR="00555678">
              <w:t xml:space="preserve"> </w:t>
            </w:r>
            <w:r w:rsidR="00555678" w:rsidRPr="007F0264">
              <w:rPr>
                <w:sz w:val="28"/>
                <w:szCs w:val="28"/>
              </w:rPr>
              <w:t>но подлежит оценке регулирующего воздействия</w:t>
            </w:r>
            <w:r w:rsidR="00555678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29076D" w:rsidP="0055567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Pr="00186A8E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color w:val="auto"/>
          <w:kern w:val="0"/>
        </w:rPr>
      </w:pPr>
      <w:r w:rsidRPr="00186A8E">
        <w:rPr>
          <w:rFonts w:eastAsia="Calibri" w:cs="Times New Roman"/>
          <w:iCs/>
          <w:color w:val="auto"/>
          <w:kern w:val="0"/>
          <w:sz w:val="28"/>
          <w:szCs w:val="28"/>
        </w:rPr>
        <w:t>3.1.Формулировка проблемы:</w:t>
      </w:r>
      <w:r w:rsidRPr="00186A8E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7208AB" w:rsidRPr="007208AB" w:rsidRDefault="007208AB" w:rsidP="007208AB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7208AB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Увеличение числа малых и средних предприятий и индивидуальных предпринимателей. </w:t>
            </w:r>
          </w:p>
          <w:p w:rsidR="007208AB" w:rsidRPr="007208AB" w:rsidRDefault="007208AB" w:rsidP="007208AB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7208AB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Увеличение объема налоговых платежей в бюджеты всех уровней. </w:t>
            </w:r>
          </w:p>
          <w:p w:rsidR="007208AB" w:rsidRPr="007208AB" w:rsidRDefault="007208AB" w:rsidP="007208AB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7208AB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Повышение доли занятых на малых и средних предприятиях в общей численности занятых в экономике города. </w:t>
            </w:r>
          </w:p>
          <w:p w:rsidR="007208AB" w:rsidRPr="007208AB" w:rsidRDefault="007208AB" w:rsidP="007208AB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7208AB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Рост оборота малых и средних предприятий. </w:t>
            </w:r>
          </w:p>
          <w:p w:rsidR="00C21E6F" w:rsidRPr="007208AB" w:rsidRDefault="007208AB" w:rsidP="007208AB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FF0000"/>
                <w:kern w:val="0"/>
                <w:sz w:val="28"/>
                <w:szCs w:val="28"/>
              </w:rPr>
            </w:pPr>
            <w:r w:rsidRPr="007208AB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Увеличение количества создаваемых рабочих мест.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AB32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</w:p>
          <w:p w:rsidR="00AB3276" w:rsidRDefault="000B48C5" w:rsidP="000B48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0B48C5">
        <w:trPr>
          <w:trHeight w:val="2082"/>
        </w:trPr>
        <w:tc>
          <w:tcPr>
            <w:tcW w:w="10137" w:type="dxa"/>
          </w:tcPr>
          <w:p w:rsidR="00E62BDD" w:rsidRPr="00186A8E" w:rsidRDefault="00E62BD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  <w:p w:rsidR="005D6196" w:rsidRPr="001700EB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  <w:ind w:left="0" w:right="20" w:firstLine="720"/>
              <w:rPr>
                <w:sz w:val="28"/>
                <w:szCs w:val="28"/>
              </w:rPr>
            </w:pPr>
            <w:r w:rsidRPr="001700EB">
              <w:rPr>
                <w:sz w:val="28"/>
                <w:szCs w:val="28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городского округа;</w:t>
            </w:r>
          </w:p>
          <w:p w:rsidR="005D6196" w:rsidRPr="001700EB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  <w:ind w:left="0" w:right="20" w:firstLine="720"/>
              <w:rPr>
                <w:sz w:val="28"/>
                <w:szCs w:val="28"/>
              </w:rPr>
            </w:pPr>
            <w:r w:rsidRPr="001700EB">
              <w:rPr>
                <w:sz w:val="28"/>
                <w:szCs w:val="28"/>
              </w:rPr>
              <w:t xml:space="preserve">обеспечение конкурентоспособности субъектов малого и среднего </w:t>
            </w:r>
            <w:r w:rsidRPr="001700EB">
              <w:rPr>
                <w:sz w:val="28"/>
                <w:szCs w:val="28"/>
              </w:rPr>
              <w:lastRenderedPageBreak/>
              <w:t>предпринимательства, развитие инновационного предпринимательства;</w:t>
            </w:r>
          </w:p>
          <w:p w:rsidR="005D6196" w:rsidRPr="001700EB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  <w:ind w:left="0" w:right="20" w:firstLine="720"/>
              <w:rPr>
                <w:sz w:val="28"/>
                <w:szCs w:val="28"/>
              </w:rPr>
            </w:pPr>
            <w:r w:rsidRPr="001700EB">
              <w:rPr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Республики Дагестан, иные российские рынки;</w:t>
            </w:r>
          </w:p>
          <w:p w:rsidR="005D6196" w:rsidRPr="001700EB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  <w:ind w:right="20"/>
              <w:rPr>
                <w:sz w:val="28"/>
                <w:szCs w:val="28"/>
              </w:rPr>
            </w:pPr>
            <w:r w:rsidRPr="001700EB">
              <w:rPr>
                <w:sz w:val="28"/>
                <w:szCs w:val="28"/>
              </w:rPr>
              <w:t>вовлечение широких слоев населения в предпринимательскую деятельность;</w:t>
            </w:r>
          </w:p>
          <w:p w:rsidR="005D6196" w:rsidRPr="001700EB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  <w:rPr>
                <w:sz w:val="28"/>
                <w:szCs w:val="28"/>
              </w:rPr>
            </w:pPr>
            <w:r w:rsidRPr="001700EB">
              <w:rPr>
                <w:sz w:val="28"/>
                <w:szCs w:val="28"/>
              </w:rPr>
              <w:t>организация новых рабочих мест;</w:t>
            </w:r>
          </w:p>
          <w:p w:rsidR="005D6196" w:rsidRPr="005D6196" w:rsidRDefault="005D6196" w:rsidP="005D6196">
            <w:pPr>
              <w:pStyle w:val="160"/>
              <w:numPr>
                <w:ilvl w:val="0"/>
                <w:numId w:val="7"/>
              </w:numPr>
              <w:shd w:val="clear" w:color="auto" w:fill="auto"/>
              <w:spacing w:before="0" w:after="0" w:line="346" w:lineRule="exact"/>
            </w:pPr>
            <w:r w:rsidRPr="001700EB">
              <w:rPr>
                <w:sz w:val="28"/>
                <w:szCs w:val="28"/>
              </w:rPr>
              <w:t>рост налоговых отчислений в бюджеты всех уровней.</w:t>
            </w:r>
          </w:p>
        </w:tc>
      </w:tr>
      <w:tr w:rsidR="0068393C" w:rsidTr="000B48C5">
        <w:trPr>
          <w:trHeight w:val="61"/>
        </w:trPr>
        <w:tc>
          <w:tcPr>
            <w:tcW w:w="10137" w:type="dxa"/>
          </w:tcPr>
          <w:p w:rsidR="0068393C" w:rsidRPr="005D6196" w:rsidRDefault="0068393C" w:rsidP="000B48C5">
            <w:pPr>
              <w:jc w:val="both"/>
              <w:rPr>
                <w:sz w:val="28"/>
                <w:szCs w:val="28"/>
              </w:rPr>
            </w:pPr>
          </w:p>
        </w:tc>
      </w:tr>
    </w:tbl>
    <w:p w:rsidR="00132828" w:rsidRPr="00E62BDD" w:rsidRDefault="00132828" w:rsidP="00BB2B4C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5D6196" w:rsidP="005D6196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Pr="005D619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.07.2007г. №209</w:t>
            </w:r>
            <w:r w:rsidR="000B48C5">
              <w:rPr>
                <w:sz w:val="28"/>
                <w:szCs w:val="28"/>
              </w:rPr>
              <w:t>-ФЗ «</w:t>
            </w:r>
            <w:r>
              <w:rPr>
                <w:sz w:val="28"/>
                <w:szCs w:val="28"/>
              </w:rPr>
              <w:t>О развитии малого и среднего предпринимательства в РФ</w:t>
            </w:r>
            <w:r w:rsidR="000B48C5">
              <w:rPr>
                <w:sz w:val="28"/>
                <w:szCs w:val="28"/>
              </w:rPr>
              <w:t>»;</w:t>
            </w:r>
          </w:p>
        </w:tc>
      </w:tr>
      <w:tr w:rsidR="000B48C5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C5" w:rsidRPr="00E62BDD" w:rsidRDefault="000B48C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Default="005D6196" w:rsidP="002C5D5D">
            <w:pPr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Закон РД от 16 июля 2008г. №34 «О развитии малого и среднего предпринимательства в РД»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585EFB" w:rsidRPr="00B91E4D" w:rsidRDefault="00B91E4D" w:rsidP="00B91E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6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. Основные группы субъектов предпринимательской и 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инвестиционной </w:t>
      </w:r>
      <w:r w:rsidR="00152A60">
        <w:rPr>
          <w:rFonts w:eastAsia="Times New Roman" w:cs="Times New Roman"/>
          <w:bCs/>
          <w:color w:val="auto"/>
          <w:sz w:val="27"/>
          <w:szCs w:val="27"/>
          <w:lang w:eastAsia="ru-RU"/>
        </w:rPr>
        <w:t>деятельности,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 интересы которых будут затронуты </w:t>
      </w: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в связи с принятием проекта правового акта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A60" w:rsidRDefault="00186A8E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141750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B91E4D" w:rsidRDefault="00B91E4D" w:rsidP="007208AB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в том числе периодичность осуществления расходов 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186A8E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Объем финансирования программы за 2020г-2022г. составляет 95 тыс</w:t>
            </w:r>
            <w:proofErr w:type="gramStart"/>
            <w:r>
              <w:rPr>
                <w:rFonts w:eastAsia="Calibri"/>
                <w:iCs/>
                <w:kern w:val="0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iCs/>
                <w:kern w:val="0"/>
                <w:sz w:val="28"/>
                <w:szCs w:val="28"/>
              </w:rPr>
              <w:t>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F16D1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085"/>
        <w:gridCol w:w="4383"/>
        <w:gridCol w:w="2103"/>
      </w:tblGrid>
      <w:tr w:rsidR="00132828" w:rsidRPr="004D5393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и количественная оценка расходов 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623749" w:rsidRDefault="004D5393" w:rsidP="004F16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</w:rPr>
            </w:pPr>
            <w:r w:rsidRPr="00CF4095">
              <w:rPr>
                <w:sz w:val="28"/>
                <w:szCs w:val="28"/>
              </w:rPr>
              <w:t xml:space="preserve">1) </w:t>
            </w:r>
            <w:r w:rsidR="00186A8E"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F378E5" w:rsidRDefault="00555678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7838BA" w:rsidP="007838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186A8E">
        <w:rPr>
          <w:rFonts w:eastAsia="Calibri" w:cs="Times New Roman"/>
          <w:iCs/>
          <w:kern w:val="0"/>
          <w:sz w:val="28"/>
          <w:szCs w:val="28"/>
          <w:u w:val="single"/>
        </w:rPr>
        <w:t>21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152A60">
        <w:rPr>
          <w:rFonts w:eastAsia="Calibri" w:cs="Times New Roman"/>
          <w:iCs/>
          <w:kern w:val="0"/>
          <w:sz w:val="28"/>
          <w:szCs w:val="28"/>
        </w:rPr>
        <w:t>»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186A8E">
        <w:rPr>
          <w:rFonts w:eastAsia="Calibri" w:cs="Times New Roman"/>
          <w:iCs/>
          <w:kern w:val="0"/>
          <w:sz w:val="28"/>
          <w:szCs w:val="28"/>
          <w:u w:val="single"/>
        </w:rPr>
        <w:t>сентября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7838BA">
        <w:rPr>
          <w:rFonts w:eastAsia="Calibri" w:cs="Times New Roman"/>
          <w:iCs/>
          <w:kern w:val="0"/>
          <w:sz w:val="28"/>
          <w:szCs w:val="28"/>
        </w:rPr>
        <w:t>20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lastRenderedPageBreak/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Pr="00EE01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Начальник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EE015E">
        <w:rPr>
          <w:rFonts w:eastAsia="Calibri" w:cs="Times New Roman"/>
          <w:kern w:val="0"/>
          <w:sz w:val="28"/>
          <w:szCs w:val="28"/>
        </w:rPr>
        <w:t>тдела экономики и инвестиционной политики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EE01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  <w:sz w:val="28"/>
          <w:szCs w:val="28"/>
          <w:u w:val="single"/>
        </w:rPr>
        <w:t>Курбанова Р.И.</w:t>
      </w:r>
      <w:r w:rsidR="00823F5F">
        <w:rPr>
          <w:rFonts w:eastAsia="Calibri" w:cs="Times New Roman"/>
          <w:kern w:val="0"/>
          <w:sz w:val="28"/>
          <w:szCs w:val="28"/>
          <w:u w:val="single"/>
        </w:rPr>
        <w:t>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4E5ED7" w:rsidRDefault="00132828" w:rsidP="004E5ED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bookmarkStart w:id="0" w:name="_GoBack"/>
      <w:bookmarkEnd w:id="0"/>
    </w:p>
    <w:sectPr w:rsidR="00132828" w:rsidRPr="004E5ED7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150"/>
    <w:multiLevelType w:val="hybridMultilevel"/>
    <w:tmpl w:val="6084284E"/>
    <w:lvl w:ilvl="0" w:tplc="867CE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43E13E66"/>
    <w:multiLevelType w:val="hybridMultilevel"/>
    <w:tmpl w:val="EFBCB720"/>
    <w:lvl w:ilvl="0" w:tplc="DFFAFAF6">
      <w:start w:val="1"/>
      <w:numFmt w:val="decimal"/>
      <w:lvlText w:val="%1."/>
      <w:lvlJc w:val="left"/>
      <w:pPr>
        <w:ind w:left="735" w:hanging="360"/>
      </w:pPr>
      <w:rPr>
        <w:rFonts w:eastAsia="DejaVu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66AB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1D74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8B6"/>
    <w:multiLevelType w:val="hybridMultilevel"/>
    <w:tmpl w:val="EBF24E34"/>
    <w:lvl w:ilvl="0" w:tplc="99BE89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334B72"/>
    <w:multiLevelType w:val="hybridMultilevel"/>
    <w:tmpl w:val="EC1EE4D6"/>
    <w:lvl w:ilvl="0" w:tplc="564AB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828"/>
    <w:rsid w:val="00013359"/>
    <w:rsid w:val="000315E0"/>
    <w:rsid w:val="0003558E"/>
    <w:rsid w:val="000578B9"/>
    <w:rsid w:val="0007063E"/>
    <w:rsid w:val="000B48C5"/>
    <w:rsid w:val="000D59A1"/>
    <w:rsid w:val="00132828"/>
    <w:rsid w:val="00134E0A"/>
    <w:rsid w:val="00141750"/>
    <w:rsid w:val="00141A37"/>
    <w:rsid w:val="00152A60"/>
    <w:rsid w:val="001700EB"/>
    <w:rsid w:val="00186A8E"/>
    <w:rsid w:val="001E29EB"/>
    <w:rsid w:val="001E4F3D"/>
    <w:rsid w:val="00202577"/>
    <w:rsid w:val="0029076D"/>
    <w:rsid w:val="002C0707"/>
    <w:rsid w:val="002C5D5D"/>
    <w:rsid w:val="0036214D"/>
    <w:rsid w:val="0038315C"/>
    <w:rsid w:val="003A2200"/>
    <w:rsid w:val="004115EB"/>
    <w:rsid w:val="004138E6"/>
    <w:rsid w:val="00487D10"/>
    <w:rsid w:val="004A3093"/>
    <w:rsid w:val="004C23DA"/>
    <w:rsid w:val="004D5393"/>
    <w:rsid w:val="004E5ED7"/>
    <w:rsid w:val="004F16D1"/>
    <w:rsid w:val="00555678"/>
    <w:rsid w:val="00575F46"/>
    <w:rsid w:val="00580ACC"/>
    <w:rsid w:val="00582E93"/>
    <w:rsid w:val="00585EFB"/>
    <w:rsid w:val="005C575E"/>
    <w:rsid w:val="005D16A8"/>
    <w:rsid w:val="005D6196"/>
    <w:rsid w:val="005D7896"/>
    <w:rsid w:val="006037FA"/>
    <w:rsid w:val="00623A68"/>
    <w:rsid w:val="00655F21"/>
    <w:rsid w:val="00663373"/>
    <w:rsid w:val="006769C5"/>
    <w:rsid w:val="0068393C"/>
    <w:rsid w:val="006D1093"/>
    <w:rsid w:val="006E430D"/>
    <w:rsid w:val="007208AB"/>
    <w:rsid w:val="00726AE0"/>
    <w:rsid w:val="00732032"/>
    <w:rsid w:val="007742D8"/>
    <w:rsid w:val="007838BA"/>
    <w:rsid w:val="007B252F"/>
    <w:rsid w:val="007E4B1B"/>
    <w:rsid w:val="007F0264"/>
    <w:rsid w:val="00811A77"/>
    <w:rsid w:val="00823F5F"/>
    <w:rsid w:val="008A0AAA"/>
    <w:rsid w:val="008C728F"/>
    <w:rsid w:val="008F5A88"/>
    <w:rsid w:val="009064A9"/>
    <w:rsid w:val="009158C5"/>
    <w:rsid w:val="009A24E6"/>
    <w:rsid w:val="009B4ACC"/>
    <w:rsid w:val="009D09D8"/>
    <w:rsid w:val="009E06EA"/>
    <w:rsid w:val="00A05298"/>
    <w:rsid w:val="00A24A33"/>
    <w:rsid w:val="00A26DDC"/>
    <w:rsid w:val="00A83CF0"/>
    <w:rsid w:val="00A87811"/>
    <w:rsid w:val="00AB3276"/>
    <w:rsid w:val="00AE71CA"/>
    <w:rsid w:val="00AE74E9"/>
    <w:rsid w:val="00B91E4D"/>
    <w:rsid w:val="00BB2B4C"/>
    <w:rsid w:val="00C17AEF"/>
    <w:rsid w:val="00C21E6F"/>
    <w:rsid w:val="00C24D52"/>
    <w:rsid w:val="00CA28F4"/>
    <w:rsid w:val="00CF4095"/>
    <w:rsid w:val="00D477D2"/>
    <w:rsid w:val="00D75945"/>
    <w:rsid w:val="00D93633"/>
    <w:rsid w:val="00DF0705"/>
    <w:rsid w:val="00E11BD9"/>
    <w:rsid w:val="00E27626"/>
    <w:rsid w:val="00E40CE5"/>
    <w:rsid w:val="00E62BDD"/>
    <w:rsid w:val="00E62C81"/>
    <w:rsid w:val="00E97211"/>
    <w:rsid w:val="00ED0455"/>
    <w:rsid w:val="00ED3BC0"/>
    <w:rsid w:val="00EE015E"/>
    <w:rsid w:val="00EE6E31"/>
    <w:rsid w:val="00EF09C8"/>
    <w:rsid w:val="00F22F91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2B4C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5D619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D6196"/>
    <w:pPr>
      <w:widowControl/>
      <w:shd w:val="clear" w:color="auto" w:fill="FFFFFF"/>
      <w:suppressAutoHyphens w:val="0"/>
      <w:spacing w:before="420" w:after="240" w:line="322" w:lineRule="exact"/>
      <w:ind w:hanging="360"/>
      <w:jc w:val="both"/>
    </w:pPr>
    <w:rPr>
      <w:rFonts w:eastAsiaTheme="minorHAnsi" w:cs="Times New Roman"/>
      <w:color w:val="auto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7B39-58A5-4B3B-93C1-F2E2381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 ПК-2</cp:lastModifiedBy>
  <cp:revision>41</cp:revision>
  <cp:lastPrinted>2020-01-14T09:04:00Z</cp:lastPrinted>
  <dcterms:created xsi:type="dcterms:W3CDTF">2019-10-26T08:22:00Z</dcterms:created>
  <dcterms:modified xsi:type="dcterms:W3CDTF">2020-09-10T13:45:00Z</dcterms:modified>
</cp:coreProperties>
</file>